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D0238">
        <w:rPr>
          <w:rFonts w:ascii="Palatino Linotype" w:hAnsi="Palatino Linotype" w:cs="Arial"/>
          <w:b/>
          <w:bCs/>
          <w:sz w:val="23"/>
          <w:szCs w:val="23"/>
        </w:rPr>
        <w:t>3892</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02660" w:rsidRPr="00B02660" w:rsidRDefault="00E6179D">
          <w:pPr>
            <w:pStyle w:val="TDC1"/>
            <w:rPr>
              <w:rFonts w:eastAsiaTheme="minorEastAsia"/>
              <w:b w:val="0"/>
              <w:sz w:val="24"/>
              <w:szCs w:val="24"/>
              <w:lang w:eastAsia="es-MX"/>
            </w:rPr>
          </w:pPr>
          <w:r w:rsidRPr="00B02660">
            <w:rPr>
              <w:sz w:val="24"/>
              <w:szCs w:val="24"/>
            </w:rPr>
            <w:fldChar w:fldCharType="begin"/>
          </w:r>
          <w:r w:rsidRPr="00B02660">
            <w:rPr>
              <w:sz w:val="24"/>
              <w:szCs w:val="24"/>
            </w:rPr>
            <w:instrText xml:space="preserve"> TOC \o "1-3" \h \z \u </w:instrText>
          </w:r>
          <w:r w:rsidRPr="00B02660">
            <w:rPr>
              <w:sz w:val="24"/>
              <w:szCs w:val="24"/>
            </w:rPr>
            <w:fldChar w:fldCharType="separate"/>
          </w:r>
          <w:hyperlink w:anchor="_Toc532816399" w:history="1">
            <w:r w:rsidR="00B02660" w:rsidRPr="00B02660">
              <w:rPr>
                <w:rStyle w:val="Hipervnculo"/>
                <w:rFonts w:eastAsia="Times New Roman"/>
                <w:sz w:val="24"/>
                <w:szCs w:val="24"/>
              </w:rPr>
              <w:t>I.</w:t>
            </w:r>
            <w:r w:rsidR="00B02660" w:rsidRPr="00B02660">
              <w:rPr>
                <w:rFonts w:eastAsiaTheme="minorEastAsia"/>
                <w:b w:val="0"/>
                <w:sz w:val="24"/>
                <w:szCs w:val="24"/>
                <w:lang w:eastAsia="es-MX"/>
              </w:rPr>
              <w:tab/>
            </w:r>
            <w:r w:rsidR="00B02660" w:rsidRPr="00B02660">
              <w:rPr>
                <w:rStyle w:val="Hipervnculo"/>
                <w:rFonts w:eastAsia="Times New Roman"/>
                <w:sz w:val="24"/>
                <w:szCs w:val="24"/>
              </w:rPr>
              <w:t>Consideraciones Generales</w:t>
            </w:r>
            <w:r w:rsidR="00B02660" w:rsidRPr="00B02660">
              <w:rPr>
                <w:webHidden/>
                <w:sz w:val="24"/>
                <w:szCs w:val="24"/>
              </w:rPr>
              <w:tab/>
            </w:r>
            <w:r w:rsidR="00B02660" w:rsidRPr="00B02660">
              <w:rPr>
                <w:webHidden/>
                <w:sz w:val="24"/>
                <w:szCs w:val="24"/>
              </w:rPr>
              <w:fldChar w:fldCharType="begin"/>
            </w:r>
            <w:r w:rsidR="00B02660" w:rsidRPr="00B02660">
              <w:rPr>
                <w:webHidden/>
                <w:sz w:val="24"/>
                <w:szCs w:val="24"/>
              </w:rPr>
              <w:instrText xml:space="preserve"> PAGEREF _Toc532816399 \h </w:instrText>
            </w:r>
            <w:r w:rsidR="00B02660" w:rsidRPr="00B02660">
              <w:rPr>
                <w:webHidden/>
                <w:sz w:val="24"/>
                <w:szCs w:val="24"/>
              </w:rPr>
            </w:r>
            <w:r w:rsidR="00B02660" w:rsidRPr="00B02660">
              <w:rPr>
                <w:webHidden/>
                <w:sz w:val="24"/>
                <w:szCs w:val="24"/>
              </w:rPr>
              <w:fldChar w:fldCharType="separate"/>
            </w:r>
            <w:r w:rsidR="00D71157">
              <w:rPr>
                <w:webHidden/>
                <w:sz w:val="24"/>
                <w:szCs w:val="24"/>
              </w:rPr>
              <w:t>1</w:t>
            </w:r>
            <w:r w:rsidR="00B02660" w:rsidRPr="00B02660">
              <w:rPr>
                <w:webHidden/>
                <w:sz w:val="24"/>
                <w:szCs w:val="24"/>
              </w:rPr>
              <w:fldChar w:fldCharType="end"/>
            </w:r>
          </w:hyperlink>
        </w:p>
        <w:p w:rsidR="00B02660" w:rsidRPr="00B02660" w:rsidRDefault="0035506E">
          <w:pPr>
            <w:pStyle w:val="TDC1"/>
            <w:rPr>
              <w:rFonts w:eastAsiaTheme="minorEastAsia"/>
              <w:b w:val="0"/>
              <w:sz w:val="24"/>
              <w:szCs w:val="24"/>
              <w:lang w:eastAsia="es-MX"/>
            </w:rPr>
          </w:pPr>
          <w:hyperlink w:anchor="_Toc532816400" w:history="1">
            <w:r w:rsidR="00B02660" w:rsidRPr="00B02660">
              <w:rPr>
                <w:rStyle w:val="Hipervnculo"/>
                <w:rFonts w:eastAsia="Calibri"/>
                <w:sz w:val="24"/>
                <w:szCs w:val="24"/>
                <w:lang w:val="es-ES"/>
              </w:rPr>
              <w:t>II.</w:t>
            </w:r>
            <w:r w:rsidR="00B02660" w:rsidRPr="00B02660">
              <w:rPr>
                <w:rFonts w:eastAsiaTheme="minorEastAsia"/>
                <w:b w:val="0"/>
                <w:sz w:val="24"/>
                <w:szCs w:val="24"/>
                <w:lang w:eastAsia="es-MX"/>
              </w:rPr>
              <w:tab/>
            </w:r>
            <w:r w:rsidR="00B02660" w:rsidRPr="00B02660">
              <w:rPr>
                <w:rStyle w:val="Hipervnculo"/>
                <w:rFonts w:eastAsia="Calibri"/>
                <w:sz w:val="24"/>
                <w:szCs w:val="24"/>
                <w:lang w:val="es-ES"/>
              </w:rPr>
              <w:t>De los requerimientos planteados en el recurso de revisión.</w:t>
            </w:r>
            <w:r w:rsidR="00B02660" w:rsidRPr="00B02660">
              <w:rPr>
                <w:webHidden/>
                <w:sz w:val="24"/>
                <w:szCs w:val="24"/>
              </w:rPr>
              <w:tab/>
            </w:r>
            <w:r w:rsidR="00B02660" w:rsidRPr="00B02660">
              <w:rPr>
                <w:webHidden/>
                <w:sz w:val="24"/>
                <w:szCs w:val="24"/>
              </w:rPr>
              <w:fldChar w:fldCharType="begin"/>
            </w:r>
            <w:r w:rsidR="00B02660" w:rsidRPr="00B02660">
              <w:rPr>
                <w:webHidden/>
                <w:sz w:val="24"/>
                <w:szCs w:val="24"/>
              </w:rPr>
              <w:instrText xml:space="preserve"> PAGEREF _Toc532816400 \h </w:instrText>
            </w:r>
            <w:r w:rsidR="00B02660" w:rsidRPr="00B02660">
              <w:rPr>
                <w:webHidden/>
                <w:sz w:val="24"/>
                <w:szCs w:val="24"/>
              </w:rPr>
            </w:r>
            <w:r w:rsidR="00B02660" w:rsidRPr="00B02660">
              <w:rPr>
                <w:webHidden/>
                <w:sz w:val="24"/>
                <w:szCs w:val="24"/>
              </w:rPr>
              <w:fldChar w:fldCharType="separate"/>
            </w:r>
            <w:r w:rsidR="00D71157">
              <w:rPr>
                <w:webHidden/>
                <w:sz w:val="24"/>
                <w:szCs w:val="24"/>
              </w:rPr>
              <w:t>2</w:t>
            </w:r>
            <w:r w:rsidR="00B02660" w:rsidRPr="00B02660">
              <w:rPr>
                <w:webHidden/>
                <w:sz w:val="24"/>
                <w:szCs w:val="24"/>
              </w:rPr>
              <w:fldChar w:fldCharType="end"/>
            </w:r>
          </w:hyperlink>
        </w:p>
        <w:p w:rsidR="00B02660" w:rsidRPr="00B02660" w:rsidRDefault="0035506E">
          <w:pPr>
            <w:pStyle w:val="TDC2"/>
            <w:rPr>
              <w:rFonts w:ascii="Palatino Linotype" w:eastAsiaTheme="minorEastAsia" w:hAnsi="Palatino Linotype"/>
              <w:noProof/>
              <w:sz w:val="24"/>
              <w:szCs w:val="24"/>
              <w:lang w:eastAsia="es-MX"/>
            </w:rPr>
          </w:pPr>
          <w:hyperlink w:anchor="_Toc532816401" w:history="1">
            <w:r w:rsidR="00B02660" w:rsidRPr="00B02660">
              <w:rPr>
                <w:rStyle w:val="Hipervnculo"/>
                <w:rFonts w:ascii="Palatino Linotype" w:hAnsi="Palatino Linotype"/>
                <w:b/>
                <w:noProof/>
                <w:sz w:val="24"/>
                <w:szCs w:val="24"/>
              </w:rPr>
              <w:t>III. Del Derecho de Acceso a la información pública y el deber de motivar.</w:t>
            </w:r>
            <w:r w:rsidR="00B02660" w:rsidRPr="00B02660">
              <w:rPr>
                <w:rFonts w:ascii="Palatino Linotype" w:hAnsi="Palatino Linotype"/>
                <w:noProof/>
                <w:webHidden/>
                <w:sz w:val="24"/>
                <w:szCs w:val="24"/>
              </w:rPr>
              <w:tab/>
            </w:r>
            <w:r w:rsidR="00B02660" w:rsidRPr="00A53753">
              <w:rPr>
                <w:rFonts w:ascii="Palatino Linotype" w:hAnsi="Palatino Linotype"/>
                <w:b/>
                <w:noProof/>
                <w:webHidden/>
                <w:sz w:val="24"/>
                <w:szCs w:val="24"/>
              </w:rPr>
              <w:fldChar w:fldCharType="begin"/>
            </w:r>
            <w:r w:rsidR="00B02660" w:rsidRPr="00A53753">
              <w:rPr>
                <w:rFonts w:ascii="Palatino Linotype" w:hAnsi="Palatino Linotype"/>
                <w:b/>
                <w:noProof/>
                <w:webHidden/>
                <w:sz w:val="24"/>
                <w:szCs w:val="24"/>
              </w:rPr>
              <w:instrText xml:space="preserve"> PAGEREF _Toc532816401 \h </w:instrText>
            </w:r>
            <w:r w:rsidR="00B02660" w:rsidRPr="00A53753">
              <w:rPr>
                <w:rFonts w:ascii="Palatino Linotype" w:hAnsi="Palatino Linotype"/>
                <w:b/>
                <w:noProof/>
                <w:webHidden/>
                <w:sz w:val="24"/>
                <w:szCs w:val="24"/>
              </w:rPr>
            </w:r>
            <w:r w:rsidR="00B02660" w:rsidRPr="00A53753">
              <w:rPr>
                <w:rFonts w:ascii="Palatino Linotype" w:hAnsi="Palatino Linotype"/>
                <w:b/>
                <w:noProof/>
                <w:webHidden/>
                <w:sz w:val="24"/>
                <w:szCs w:val="24"/>
              </w:rPr>
              <w:fldChar w:fldCharType="separate"/>
            </w:r>
            <w:r w:rsidR="00D71157">
              <w:rPr>
                <w:rFonts w:ascii="Palatino Linotype" w:hAnsi="Palatino Linotype"/>
                <w:b/>
                <w:noProof/>
                <w:webHidden/>
                <w:sz w:val="24"/>
                <w:szCs w:val="24"/>
              </w:rPr>
              <w:t>5</w:t>
            </w:r>
            <w:r w:rsidR="00B02660" w:rsidRPr="00A53753">
              <w:rPr>
                <w:rFonts w:ascii="Palatino Linotype" w:hAnsi="Palatino Linotype"/>
                <w:b/>
                <w:noProof/>
                <w:webHidden/>
                <w:sz w:val="24"/>
                <w:szCs w:val="24"/>
              </w:rPr>
              <w:fldChar w:fldCharType="end"/>
            </w:r>
          </w:hyperlink>
        </w:p>
        <w:p w:rsidR="00B02660" w:rsidRPr="00B02660" w:rsidRDefault="0035506E">
          <w:pPr>
            <w:pStyle w:val="TDC1"/>
            <w:rPr>
              <w:rFonts w:eastAsiaTheme="minorEastAsia"/>
              <w:b w:val="0"/>
              <w:sz w:val="24"/>
              <w:szCs w:val="24"/>
              <w:lang w:eastAsia="es-MX"/>
            </w:rPr>
          </w:pPr>
          <w:hyperlink w:anchor="_Toc532816402" w:history="1">
            <w:r w:rsidR="00B02660" w:rsidRPr="00B02660">
              <w:rPr>
                <w:rStyle w:val="Hipervnculo"/>
                <w:rFonts w:eastAsia="Calibri"/>
                <w:sz w:val="24"/>
                <w:szCs w:val="24"/>
              </w:rPr>
              <w:t>IV. Del Pronunciamiento simple</w:t>
            </w:r>
            <w:r w:rsidR="00B02660" w:rsidRPr="00B02660">
              <w:rPr>
                <w:webHidden/>
                <w:sz w:val="24"/>
                <w:szCs w:val="24"/>
              </w:rPr>
              <w:tab/>
            </w:r>
            <w:r w:rsidR="00B02660" w:rsidRPr="00B02660">
              <w:rPr>
                <w:webHidden/>
                <w:sz w:val="24"/>
                <w:szCs w:val="24"/>
              </w:rPr>
              <w:fldChar w:fldCharType="begin"/>
            </w:r>
            <w:r w:rsidR="00B02660" w:rsidRPr="00B02660">
              <w:rPr>
                <w:webHidden/>
                <w:sz w:val="24"/>
                <w:szCs w:val="24"/>
              </w:rPr>
              <w:instrText xml:space="preserve"> PAGEREF _Toc532816402 \h </w:instrText>
            </w:r>
            <w:r w:rsidR="00B02660" w:rsidRPr="00B02660">
              <w:rPr>
                <w:webHidden/>
                <w:sz w:val="24"/>
                <w:szCs w:val="24"/>
              </w:rPr>
            </w:r>
            <w:r w:rsidR="00B02660" w:rsidRPr="00B02660">
              <w:rPr>
                <w:webHidden/>
                <w:sz w:val="24"/>
                <w:szCs w:val="24"/>
              </w:rPr>
              <w:fldChar w:fldCharType="separate"/>
            </w:r>
            <w:r w:rsidR="00D71157">
              <w:rPr>
                <w:webHidden/>
                <w:sz w:val="24"/>
                <w:szCs w:val="24"/>
              </w:rPr>
              <w:t>10</w:t>
            </w:r>
            <w:r w:rsidR="00B02660" w:rsidRPr="00B02660">
              <w:rPr>
                <w:webHidden/>
                <w:sz w:val="24"/>
                <w:szCs w:val="24"/>
              </w:rPr>
              <w:fldChar w:fldCharType="end"/>
            </w:r>
          </w:hyperlink>
        </w:p>
        <w:p w:rsidR="00B02660" w:rsidRPr="00B02660" w:rsidRDefault="0035506E">
          <w:pPr>
            <w:pStyle w:val="TDC1"/>
            <w:rPr>
              <w:rFonts w:eastAsiaTheme="minorEastAsia"/>
              <w:b w:val="0"/>
              <w:sz w:val="24"/>
              <w:szCs w:val="24"/>
              <w:lang w:eastAsia="es-MX"/>
            </w:rPr>
          </w:pPr>
          <w:hyperlink w:anchor="_Toc532816403" w:history="1">
            <w:r w:rsidR="00B02660" w:rsidRPr="00B02660">
              <w:rPr>
                <w:rStyle w:val="Hipervnculo"/>
                <w:rFonts w:eastAsia="Calibri"/>
                <w:sz w:val="24"/>
                <w:szCs w:val="24"/>
              </w:rPr>
              <w:t>V. Conclusión.</w:t>
            </w:r>
            <w:r w:rsidR="00B02660" w:rsidRPr="00B02660">
              <w:rPr>
                <w:webHidden/>
                <w:sz w:val="24"/>
                <w:szCs w:val="24"/>
              </w:rPr>
              <w:tab/>
            </w:r>
            <w:r w:rsidR="00B02660" w:rsidRPr="00B02660">
              <w:rPr>
                <w:webHidden/>
                <w:sz w:val="24"/>
                <w:szCs w:val="24"/>
              </w:rPr>
              <w:fldChar w:fldCharType="begin"/>
            </w:r>
            <w:r w:rsidR="00B02660" w:rsidRPr="00B02660">
              <w:rPr>
                <w:webHidden/>
                <w:sz w:val="24"/>
                <w:szCs w:val="24"/>
              </w:rPr>
              <w:instrText xml:space="preserve"> PAGEREF _Toc532816403 \h </w:instrText>
            </w:r>
            <w:r w:rsidR="00B02660" w:rsidRPr="00B02660">
              <w:rPr>
                <w:webHidden/>
                <w:sz w:val="24"/>
                <w:szCs w:val="24"/>
              </w:rPr>
            </w:r>
            <w:r w:rsidR="00B02660" w:rsidRPr="00B02660">
              <w:rPr>
                <w:webHidden/>
                <w:sz w:val="24"/>
                <w:szCs w:val="24"/>
              </w:rPr>
              <w:fldChar w:fldCharType="separate"/>
            </w:r>
            <w:r w:rsidR="00D71157">
              <w:rPr>
                <w:webHidden/>
                <w:sz w:val="24"/>
                <w:szCs w:val="24"/>
              </w:rPr>
              <w:t>17</w:t>
            </w:r>
            <w:r w:rsidR="00B02660" w:rsidRPr="00B02660">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B0266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81639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532317"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82103A">
        <w:rPr>
          <w:rFonts w:ascii="Palatino Linotype" w:eastAsia="Calibri" w:hAnsi="Palatino Linotype" w:cs="Arial"/>
          <w:sz w:val="24"/>
          <w:szCs w:val="24"/>
        </w:rPr>
        <w:t>Sexta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2103A">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82103A">
        <w:rPr>
          <w:rFonts w:ascii="Palatino Linotype" w:eastAsia="Calibri" w:hAnsi="Palatino Linotype" w:cs="Arial"/>
          <w:sz w:val="24"/>
          <w:szCs w:val="24"/>
        </w:rPr>
        <w:t>12</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532317">
        <w:rPr>
          <w:rFonts w:ascii="Palatino Linotype" w:eastAsia="Calibri" w:hAnsi="Palatino Linotype" w:cs="Arial"/>
          <w:sz w:val="24"/>
          <w:szCs w:val="24"/>
        </w:rPr>
        <w:lastRenderedPageBreak/>
        <w:t>recurso de revisió</w:t>
      </w:r>
      <w:bookmarkStart w:id="1" w:name="_GoBack"/>
      <w:bookmarkEnd w:id="1"/>
      <w:r w:rsidRPr="00532317">
        <w:rPr>
          <w:rFonts w:ascii="Palatino Linotype" w:eastAsia="Calibri" w:hAnsi="Palatino Linotype" w:cs="Arial"/>
          <w:sz w:val="24"/>
          <w:szCs w:val="24"/>
        </w:rPr>
        <w:t>n interpuesto po</w:t>
      </w:r>
      <w:r w:rsidR="004C57A6" w:rsidRPr="00532317">
        <w:rPr>
          <w:rFonts w:ascii="Palatino Linotype" w:eastAsia="Calibri" w:hAnsi="Palatino Linotype" w:cs="Arial"/>
          <w:sz w:val="24"/>
          <w:szCs w:val="24"/>
        </w:rPr>
        <w:t>r</w:t>
      </w:r>
      <w:r w:rsidR="000F0970" w:rsidRPr="00532317">
        <w:rPr>
          <w:rFonts w:ascii="Palatino Linotype" w:hAnsi="Palatino Linotype"/>
          <w:b/>
          <w:sz w:val="24"/>
          <w:szCs w:val="24"/>
        </w:rPr>
        <w:t xml:space="preserve"> </w:t>
      </w:r>
      <w:r w:rsidR="00031184" w:rsidRPr="00532317">
        <w:rPr>
          <w:rFonts w:ascii="Palatino Linotype" w:hAnsi="Palatino Linotype"/>
          <w:b/>
          <w:sz w:val="24"/>
          <w:szCs w:val="24"/>
        </w:rPr>
        <w:t xml:space="preserve"> </w:t>
      </w:r>
      <w:r w:rsidR="00031184" w:rsidRPr="00532317">
        <w:rPr>
          <w:rFonts w:ascii="Palatino Linotype" w:hAnsi="Palatino Linotype"/>
          <w:sz w:val="24"/>
          <w:szCs w:val="24"/>
        </w:rPr>
        <w:t xml:space="preserve">el </w:t>
      </w:r>
      <w:r w:rsidR="00031184" w:rsidRPr="00532317">
        <w:rPr>
          <w:rFonts w:ascii="Palatino Linotype" w:hAnsi="Palatino Linotype" w:cs="Arial"/>
          <w:b/>
          <w:sz w:val="24"/>
          <w:szCs w:val="24"/>
        </w:rPr>
        <w:t xml:space="preserve"> </w:t>
      </w:r>
      <w:r w:rsidR="00532317" w:rsidRPr="00532317">
        <w:rPr>
          <w:rFonts w:ascii="Palatino Linotype" w:hAnsi="Palatino Linotype"/>
          <w:b/>
          <w:sz w:val="24"/>
          <w:szCs w:val="24"/>
        </w:rPr>
        <w:t>C.</w:t>
      </w:r>
      <w:r w:rsidR="00532317" w:rsidRPr="00532317">
        <w:rPr>
          <w:rFonts w:ascii="Palatino Linotype" w:hAnsi="Palatino Linotype"/>
          <w:sz w:val="24"/>
          <w:szCs w:val="24"/>
        </w:rPr>
        <w:t xml:space="preserve"> </w:t>
      </w:r>
      <w:r w:rsidR="0035506E" w:rsidRPr="0035506E">
        <w:rPr>
          <w:rFonts w:ascii="Palatino Linotype" w:hAnsi="Palatino Linotype"/>
          <w:b/>
          <w:sz w:val="24"/>
          <w:szCs w:val="24"/>
          <w:highlight w:val="black"/>
        </w:rPr>
        <w:t>----------------------------------</w:t>
      </w:r>
      <w:r w:rsidR="0082103A" w:rsidRPr="00532317">
        <w:rPr>
          <w:rFonts w:ascii="Palatino Linotype" w:hAnsi="Palatino Linotype" w:cs="Tahoma"/>
          <w:bCs/>
          <w:color w:val="0D0D0D" w:themeColor="text1" w:themeTint="F2"/>
          <w:sz w:val="24"/>
          <w:szCs w:val="24"/>
        </w:rPr>
        <w:t>,</w:t>
      </w:r>
      <w:r w:rsidR="0082103A" w:rsidRPr="00532317">
        <w:rPr>
          <w:rFonts w:ascii="Palatino Linotype" w:eastAsia="Calibri" w:hAnsi="Palatino Linotype" w:cs="Arial"/>
          <w:sz w:val="24"/>
          <w:szCs w:val="24"/>
        </w:rPr>
        <w:t xml:space="preserve"> </w:t>
      </w:r>
      <w:r w:rsidR="003E0648" w:rsidRPr="00532317">
        <w:rPr>
          <w:rFonts w:ascii="Palatino Linotype" w:eastAsia="Calibri" w:hAnsi="Palatino Linotype" w:cs="Arial"/>
          <w:sz w:val="24"/>
          <w:szCs w:val="24"/>
        </w:rPr>
        <w:t>en contra de la respuesta</w:t>
      </w:r>
      <w:r w:rsidR="0036141D" w:rsidRPr="00532317">
        <w:rPr>
          <w:rFonts w:ascii="Palatino Linotype" w:eastAsia="Calibri" w:hAnsi="Palatino Linotype" w:cs="Arial"/>
          <w:sz w:val="24"/>
          <w:szCs w:val="24"/>
        </w:rPr>
        <w:t xml:space="preserve"> de</w:t>
      </w:r>
      <w:r w:rsidR="00422BF0" w:rsidRPr="00532317">
        <w:rPr>
          <w:rFonts w:ascii="Palatino Linotype" w:eastAsia="Calibri" w:hAnsi="Palatino Linotype" w:cs="Arial"/>
          <w:sz w:val="24"/>
          <w:szCs w:val="24"/>
        </w:rPr>
        <w:t>l</w:t>
      </w:r>
      <w:r w:rsidR="0030352F" w:rsidRPr="0030352F">
        <w:rPr>
          <w:rFonts w:ascii="Palatino Linotype" w:hAnsi="Palatino Linotype"/>
          <w:b/>
        </w:rPr>
        <w:t xml:space="preserve"> </w:t>
      </w:r>
      <w:r w:rsidR="0030352F" w:rsidRPr="001F45B1">
        <w:rPr>
          <w:rFonts w:ascii="Palatino Linotype" w:hAnsi="Palatino Linotype"/>
          <w:b/>
        </w:rPr>
        <w:t>Ayuntamiento de Almoloya de Juárez</w:t>
      </w:r>
      <w:r w:rsidR="00436541" w:rsidRPr="00532317">
        <w:rPr>
          <w:rFonts w:ascii="Palatino Linotype" w:hAnsi="Palatino Linotype" w:cs="Arial"/>
          <w:sz w:val="24"/>
          <w:szCs w:val="24"/>
        </w:rPr>
        <w:t>,</w:t>
      </w:r>
      <w:r w:rsidR="00532317">
        <w:rPr>
          <w:rFonts w:ascii="Palatino Linotype" w:eastAsia="Calibri" w:hAnsi="Palatino Linotype" w:cs="Arial"/>
          <w:sz w:val="24"/>
          <w:szCs w:val="24"/>
        </w:rPr>
        <w:t xml:space="preserve"> </w:t>
      </w:r>
      <w:r w:rsidRPr="00532317">
        <w:rPr>
          <w:rFonts w:ascii="Palatino Linotype" w:eastAsia="Calibri" w:hAnsi="Palatino Linotype" w:cs="Arial"/>
          <w:sz w:val="24"/>
          <w:szCs w:val="24"/>
        </w:rPr>
        <w:t>procedimiento que le fue asignado el número de expediente</w:t>
      </w:r>
      <w:r w:rsidR="00DB39B5" w:rsidRPr="00532317">
        <w:rPr>
          <w:rFonts w:ascii="Palatino Linotype" w:eastAsia="Calibri" w:hAnsi="Palatino Linotype" w:cs="Arial"/>
          <w:sz w:val="24"/>
          <w:szCs w:val="24"/>
        </w:rPr>
        <w:t xml:space="preserve"> </w:t>
      </w:r>
      <w:r w:rsidR="00D36317" w:rsidRPr="00532317">
        <w:rPr>
          <w:rFonts w:ascii="Palatino Linotype" w:hAnsi="Palatino Linotype" w:cs="Arial"/>
          <w:b/>
          <w:bCs/>
          <w:sz w:val="24"/>
          <w:szCs w:val="24"/>
        </w:rPr>
        <w:t>0</w:t>
      </w:r>
      <w:r w:rsidR="00FD0238">
        <w:rPr>
          <w:rFonts w:ascii="Palatino Linotype" w:hAnsi="Palatino Linotype" w:cs="Arial"/>
          <w:b/>
          <w:bCs/>
          <w:sz w:val="24"/>
          <w:szCs w:val="24"/>
        </w:rPr>
        <w:t>3892</w:t>
      </w:r>
      <w:r w:rsidR="00EF3EA6" w:rsidRPr="00532317">
        <w:rPr>
          <w:rFonts w:ascii="Palatino Linotype" w:hAnsi="Palatino Linotype" w:cs="Arial"/>
          <w:b/>
          <w:bCs/>
          <w:sz w:val="24"/>
          <w:szCs w:val="24"/>
        </w:rPr>
        <w:t>/INFOEM/IP/RR/2018</w:t>
      </w:r>
      <w:r w:rsidR="00F776CD" w:rsidRPr="00532317">
        <w:rPr>
          <w:rFonts w:ascii="Palatino Linotype" w:hAnsi="Palatino Linotype" w:cs="Arial"/>
          <w:b/>
          <w:bCs/>
          <w:sz w:val="24"/>
          <w:szCs w:val="24"/>
        </w:rPr>
        <w:t>.</w:t>
      </w:r>
      <w:r w:rsidR="00540F48" w:rsidRPr="00532317">
        <w:rPr>
          <w:rFonts w:ascii="Palatino Linotype" w:hAnsi="Palatino Linotype" w:cs="Arial"/>
          <w:b/>
          <w:bCs/>
          <w:sz w:val="24"/>
          <w:szCs w:val="24"/>
        </w:rPr>
        <w:t xml:space="preserve"> </w:t>
      </w:r>
    </w:p>
    <w:p w:rsidR="00E6179D" w:rsidRPr="00532317"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300BE7">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81640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300BE7">
        <w:rPr>
          <w:rFonts w:ascii="Palatino Linotype" w:eastAsia="Calibri" w:hAnsi="Palatino Linotype" w:cs="Arial"/>
          <w:sz w:val="24"/>
          <w:szCs w:val="24"/>
        </w:rPr>
        <w:t xml:space="preserve"> </w:t>
      </w:r>
      <w:r w:rsidR="00422BF0" w:rsidRPr="00CB4549">
        <w:rPr>
          <w:rFonts w:ascii="Palatino Linotype" w:eastAsia="Calibri" w:hAnsi="Palatino Linotype" w:cs="Arial"/>
          <w:b/>
          <w:sz w:val="24"/>
          <w:szCs w:val="24"/>
        </w:rPr>
        <w:t>e</w:t>
      </w:r>
      <w:r w:rsidR="00691120" w:rsidRPr="00CB4549">
        <w:rPr>
          <w:rFonts w:ascii="Palatino Linotype" w:eastAsia="Calibri" w:hAnsi="Palatino Linotype" w:cs="Arial"/>
          <w:b/>
          <w:sz w:val="24"/>
          <w:szCs w:val="24"/>
        </w:rPr>
        <w:t>l</w:t>
      </w:r>
      <w:r w:rsidR="00300BE7" w:rsidRPr="00CB4549">
        <w:rPr>
          <w:rFonts w:ascii="Palatino Linotype" w:hAnsi="Palatino Linotype"/>
          <w:b/>
          <w:sz w:val="24"/>
          <w:szCs w:val="24"/>
        </w:rPr>
        <w:t xml:space="preserve"> Ayuntamiento de Almoloya de Juárez</w:t>
      </w:r>
      <w:r w:rsidR="00300BE7">
        <w:rPr>
          <w:rFonts w:ascii="Palatino Linotype" w:hAnsi="Palatino Linotype"/>
          <w:b/>
        </w:rPr>
        <w:t>,</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CB4549" w:rsidRPr="00CB4549" w:rsidRDefault="00CB4549" w:rsidP="00CB4549">
      <w:pPr>
        <w:spacing w:after="0" w:line="240" w:lineRule="auto"/>
        <w:ind w:left="851" w:right="709"/>
        <w:jc w:val="both"/>
        <w:rPr>
          <w:rFonts w:ascii="Palatino Linotype" w:eastAsia="Calibri" w:hAnsi="Palatino Linotype" w:cs="Times New Roman"/>
          <w:i/>
          <w:color w:val="000000"/>
          <w:sz w:val="10"/>
          <w:lang w:val="es-ES" w:eastAsia="es-ES"/>
        </w:rPr>
      </w:pPr>
    </w:p>
    <w:p w:rsidR="00CB4549" w:rsidRPr="00CB4549" w:rsidRDefault="00CB4549" w:rsidP="00CB4549">
      <w:pPr>
        <w:spacing w:after="0" w:line="240" w:lineRule="auto"/>
        <w:ind w:left="851" w:right="709"/>
        <w:jc w:val="both"/>
        <w:rPr>
          <w:rFonts w:ascii="Palatino Linotype" w:eastAsia="Calibri" w:hAnsi="Palatino Linotype" w:cs="Times New Roman"/>
          <w:i/>
          <w:color w:val="000000"/>
          <w:sz w:val="24"/>
          <w:szCs w:val="24"/>
          <w:lang w:val="es-ES" w:eastAsia="es-ES"/>
        </w:rPr>
      </w:pPr>
      <w:r w:rsidRPr="00CB4549">
        <w:rPr>
          <w:rFonts w:ascii="Palatino Linotype" w:eastAsia="Calibri" w:hAnsi="Palatino Linotype" w:cs="Times New Roman"/>
          <w:i/>
          <w:color w:val="000000"/>
          <w:sz w:val="24"/>
          <w:szCs w:val="24"/>
          <w:lang w:val="es-ES" w:eastAsia="es-ES"/>
        </w:rPr>
        <w:lastRenderedPageBreak/>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(Sic)</w:t>
      </w:r>
    </w:p>
    <w:p w:rsidR="00532317" w:rsidRDefault="00532317" w:rsidP="00930786">
      <w:pPr>
        <w:spacing w:line="360" w:lineRule="auto"/>
        <w:ind w:left="851" w:right="850"/>
        <w:jc w:val="both"/>
        <w:rPr>
          <w:rFonts w:ascii="Palatino Linotype" w:hAnsi="Palatino Linotype"/>
          <w:i/>
          <w:lang w:val="es-ES_tradnl"/>
        </w:rPr>
      </w:pPr>
    </w:p>
    <w:p w:rsidR="000E4D6E" w:rsidRPr="00B821C2" w:rsidRDefault="00E6179D" w:rsidP="004278C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300BE7" w:rsidRPr="00300BE7">
        <w:rPr>
          <w:rFonts w:ascii="Palatino Linotype" w:hAnsi="Palatino Linotype"/>
          <w:b/>
        </w:rPr>
        <w:t xml:space="preserve"> </w:t>
      </w:r>
      <w:r w:rsidR="00300BE7" w:rsidRPr="00CB4549">
        <w:rPr>
          <w:rFonts w:ascii="Palatino Linotype" w:hAnsi="Palatino Linotype"/>
          <w:b/>
          <w:sz w:val="24"/>
          <w:szCs w:val="24"/>
        </w:rPr>
        <w:t>Ayuntamiento de Almoloya de Juárez</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300BE7"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300BE7" w:rsidRPr="00300BE7">
        <w:rPr>
          <w:rFonts w:ascii="Palatino Linotype" w:hAnsi="Palatino Linotype"/>
          <w:b/>
        </w:rPr>
        <w:t xml:space="preserve"> </w:t>
      </w:r>
      <w:r w:rsidR="00300BE7" w:rsidRPr="001F45B1">
        <w:rPr>
          <w:rFonts w:ascii="Palatino Linotype" w:hAnsi="Palatino Linotype"/>
          <w:b/>
        </w:rPr>
        <w:t>Ayuntamiento de Almoloya de Juárez</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300BE7" w:rsidRPr="00300BE7" w:rsidRDefault="00300BE7" w:rsidP="00300BE7">
      <w:pPr>
        <w:pStyle w:val="Prrafodelista"/>
        <w:rPr>
          <w:rFonts w:ascii="Palatino Linotype" w:hAnsi="Palatino Linotype"/>
          <w:sz w:val="24"/>
          <w:szCs w:val="24"/>
        </w:rPr>
      </w:pPr>
    </w:p>
    <w:p w:rsidR="00300BE7" w:rsidRPr="00031184" w:rsidRDefault="00300BE7" w:rsidP="00300BE7">
      <w:pPr>
        <w:pStyle w:val="Prrafodelista"/>
        <w:spacing w:before="120" w:after="120" w:line="360" w:lineRule="auto"/>
        <w:ind w:left="0" w:right="49"/>
        <w:jc w:val="both"/>
        <w:rPr>
          <w:rFonts w:ascii="Palatino Linotype" w:hAnsi="Palatino Linotype"/>
          <w:sz w:val="24"/>
          <w:szCs w:val="24"/>
        </w:rPr>
      </w:pPr>
    </w:p>
    <w:p w:rsidR="00300BE7" w:rsidRPr="00300BE7" w:rsidRDefault="00300BE7" w:rsidP="00300BE7">
      <w:pPr>
        <w:pStyle w:val="Prrafodelista"/>
        <w:spacing w:before="120" w:after="120" w:line="360" w:lineRule="auto"/>
        <w:ind w:right="616"/>
        <w:jc w:val="both"/>
        <w:rPr>
          <w:rFonts w:ascii="Palatino Linotype" w:hAnsi="Palatino Linotype"/>
          <w:i/>
          <w:sz w:val="24"/>
          <w:szCs w:val="24"/>
        </w:rPr>
      </w:pPr>
      <w:r w:rsidRPr="00300BE7">
        <w:rPr>
          <w:rFonts w:ascii="Palatino Linotype" w:hAnsi="Palatino Linotype"/>
          <w:i/>
          <w:sz w:val="24"/>
          <w:szCs w:val="24"/>
        </w:rPr>
        <w:t xml:space="preserve">“Los recibos de nómina de la primera y segunda quincena de marzo de 2018 o el documento o los documentos en donde consten el sueldo sin excedentes y salario bruto; así como, los conceptos que forman parte del sobresueldo, </w:t>
      </w:r>
      <w:r w:rsidRPr="00300BE7">
        <w:rPr>
          <w:rFonts w:ascii="Palatino Linotype" w:hAnsi="Palatino Linotype"/>
          <w:i/>
          <w:sz w:val="24"/>
          <w:szCs w:val="24"/>
        </w:rPr>
        <w:lastRenderedPageBreak/>
        <w:t>compensaciones, horas extras, comisiones, apoyos escolares, vales, apoyos en general, excedentes y similares de la primera y segunda quincena de marzo de 2018 de la totalidad de los servidores públicos.</w:t>
      </w:r>
    </w:p>
    <w:p w:rsidR="00300BE7" w:rsidRPr="00300BE7" w:rsidRDefault="00300BE7" w:rsidP="00300BE7">
      <w:pPr>
        <w:pStyle w:val="Prrafodelista"/>
        <w:spacing w:before="120" w:after="120" w:line="360" w:lineRule="auto"/>
        <w:ind w:right="616"/>
        <w:jc w:val="both"/>
        <w:rPr>
          <w:rFonts w:ascii="Palatino Linotype" w:hAnsi="Palatino Linotype"/>
          <w:i/>
          <w:sz w:val="24"/>
          <w:szCs w:val="24"/>
        </w:rPr>
      </w:pPr>
      <w:r w:rsidRPr="00300BE7">
        <w:rPr>
          <w:rFonts w:ascii="Palatino Linotype" w:hAnsi="Palatino Linotype"/>
          <w:i/>
          <w:sz w:val="24"/>
          <w:szCs w:val="24"/>
        </w:rPr>
        <w:t xml:space="preserve">Para el caso de que no hubiese personal contratado por tiempo determinado durante la temporalidad que se refiere, bastará con que lo haga del conocimiento del RECURRENTE. </w:t>
      </w:r>
    </w:p>
    <w:p w:rsidR="00691120" w:rsidRDefault="00300BE7" w:rsidP="00300BE7">
      <w:pPr>
        <w:pStyle w:val="Prrafodelista"/>
        <w:spacing w:before="120" w:after="120" w:line="360" w:lineRule="auto"/>
        <w:ind w:left="709" w:right="616"/>
        <w:jc w:val="both"/>
        <w:rPr>
          <w:rFonts w:ascii="Palatino Linotype" w:hAnsi="Palatino Linotype"/>
          <w:i/>
          <w:sz w:val="24"/>
          <w:szCs w:val="24"/>
        </w:rPr>
      </w:pPr>
      <w:r w:rsidRPr="00300BE7">
        <w:rPr>
          <w:rFonts w:ascii="Palatino Linotype" w:hAnsi="Palatino Linotype"/>
          <w:i/>
          <w:sz w:val="24"/>
          <w:szCs w:val="24"/>
        </w:rPr>
        <w:t>Debiendo notificar al RECURRENTE el Acuerdo de Clasificación de la información que apruebe su Comité de Transparencia con motivo de la versión pública.”</w:t>
      </w:r>
    </w:p>
    <w:p w:rsidR="00300BE7" w:rsidRPr="00300BE7" w:rsidRDefault="00300BE7" w:rsidP="00300BE7">
      <w:pPr>
        <w:pStyle w:val="Prrafodelista"/>
        <w:spacing w:before="120" w:after="120" w:line="360" w:lineRule="auto"/>
        <w:ind w:left="0" w:right="49"/>
        <w:jc w:val="both"/>
        <w:rPr>
          <w:rFonts w:ascii="Palatino Linotype" w:hAnsi="Palatino Linotype"/>
          <w:i/>
          <w:sz w:val="24"/>
          <w:szCs w:val="24"/>
        </w:rPr>
      </w:pPr>
    </w:p>
    <w:p w:rsidR="005C253D" w:rsidRPr="00300BE7"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CD270D">
        <w:rPr>
          <w:rFonts w:ascii="Palatino Linotype" w:eastAsia="Times New Roman" w:hAnsi="Palatino Linotype" w:cs="Arial"/>
          <w:sz w:val="24"/>
        </w:rPr>
        <w:t xml:space="preserve"> </w:t>
      </w:r>
      <w:r w:rsidR="00C80923">
        <w:rPr>
          <w:rFonts w:ascii="Palatino Linotype" w:eastAsia="Times New Roman" w:hAnsi="Palatino Linotype" w:cs="Arial"/>
          <w:sz w:val="24"/>
        </w:rPr>
        <w:t xml:space="preserve"> la información solicitada</w:t>
      </w:r>
      <w:r w:rsidR="002A071E" w:rsidRPr="002A071E">
        <w:rPr>
          <w:rFonts w:ascii="Palatino Linotype" w:eastAsia="Times New Roman" w:hAnsi="Palatino Linotype" w:cs="Arial"/>
          <w:sz w:val="24"/>
        </w:rPr>
        <w:t xml:space="preserve">: </w:t>
      </w:r>
    </w:p>
    <w:p w:rsidR="00300BE7" w:rsidRPr="00532317" w:rsidRDefault="00300BE7" w:rsidP="00300BE7">
      <w:pPr>
        <w:pStyle w:val="Prrafodelista"/>
        <w:spacing w:before="240" w:after="240" w:line="360" w:lineRule="auto"/>
        <w:ind w:left="0" w:right="49"/>
        <w:jc w:val="both"/>
        <w:rPr>
          <w:rFonts w:ascii="Palatino Linotype" w:eastAsia="Times New Roman" w:hAnsi="Palatino Linotype" w:cs="Arial"/>
          <w:i/>
          <w:sz w:val="24"/>
        </w:rPr>
      </w:pPr>
    </w:p>
    <w:p w:rsidR="00532317" w:rsidRPr="00532317" w:rsidRDefault="00300BE7" w:rsidP="00300BE7">
      <w:pPr>
        <w:pStyle w:val="Prrafodelista"/>
        <w:spacing w:before="240" w:after="240" w:line="360" w:lineRule="auto"/>
        <w:ind w:left="709" w:right="616"/>
        <w:jc w:val="both"/>
        <w:rPr>
          <w:rFonts w:ascii="Palatino Linotype" w:eastAsia="Times New Roman" w:hAnsi="Palatino Linotype" w:cs="Arial"/>
          <w:i/>
          <w:sz w:val="24"/>
        </w:rPr>
      </w:pPr>
      <w:r w:rsidRPr="00300BE7">
        <w:rPr>
          <w:rFonts w:ascii="Palatino Linotype" w:eastAsia="Times New Roman" w:hAnsi="Palatino Linotype" w:cs="Arial"/>
          <w:i/>
          <w:sz w:val="24"/>
        </w:rPr>
        <w:t>Para el caso de que no hubiese personal contratado por tiempo determinado durante la temporalidad que se refiere, bastará con que lo haga del conocimiento del RECURRENTE.</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81640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81640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D71157">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w:t>
      </w:r>
      <w:r w:rsidRPr="0083488C">
        <w:rPr>
          <w:rFonts w:ascii="Palatino Linotype" w:hAnsi="Palatino Linotype" w:cs="Times New Roman"/>
          <w:i/>
        </w:rPr>
        <w:lastRenderedPageBreak/>
        <w:t xml:space="preserve">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D10121">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81640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D71157" w:rsidRDefault="00D71157" w:rsidP="00E6179D">
      <w:pPr>
        <w:rPr>
          <w:rFonts w:ascii="Palatino Linotype" w:hAnsi="Palatino Linotype" w:cs="Arial"/>
          <w:color w:val="000000" w:themeColor="text1"/>
          <w:sz w:val="24"/>
          <w:szCs w:val="24"/>
        </w:rPr>
      </w:pPr>
    </w:p>
    <w:p w:rsidR="00D71157" w:rsidRPr="00427B79" w:rsidRDefault="00D71157" w:rsidP="00E6179D">
      <w:pPr>
        <w:rPr>
          <w:rFonts w:ascii="Palatino Linotype" w:hAnsi="Palatino Linotype" w:cs="Arial"/>
          <w:color w:val="000000" w:themeColor="text1"/>
          <w:sz w:val="24"/>
          <w:szCs w:val="24"/>
        </w:rPr>
      </w:pPr>
    </w:p>
    <w:p w:rsidR="003855C9" w:rsidRPr="00427B79" w:rsidRDefault="00C602B8" w:rsidP="00D71157">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D71157">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D71157" w:rsidRDefault="009A33F0" w:rsidP="00D71157">
      <w:pPr>
        <w:spacing w:after="0"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D71157">
      <w:pPr>
        <w:spacing w:after="0" w:line="240" w:lineRule="auto"/>
        <w:rPr>
          <w:rFonts w:ascii="Palatino Linotype" w:hAnsi="Palatino Linotype"/>
          <w:color w:val="000000" w:themeColor="text1"/>
          <w:sz w:val="24"/>
          <w:szCs w:val="24"/>
        </w:rPr>
      </w:pPr>
    </w:p>
    <w:p w:rsidR="00797A31" w:rsidRPr="00D71157" w:rsidRDefault="00A22908" w:rsidP="00D71157">
      <w:pPr>
        <w:spacing w:after="0"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D7115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9C6" w:rsidRDefault="007849C6" w:rsidP="00E82D3D">
      <w:pPr>
        <w:spacing w:after="0" w:line="240" w:lineRule="auto"/>
      </w:pPr>
      <w:r>
        <w:separator/>
      </w:r>
    </w:p>
  </w:endnote>
  <w:endnote w:type="continuationSeparator" w:id="0">
    <w:p w:rsidR="007849C6" w:rsidRDefault="007849C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506E">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506E">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9C6" w:rsidRDefault="007849C6" w:rsidP="00E82D3D">
      <w:pPr>
        <w:spacing w:after="0" w:line="240" w:lineRule="auto"/>
      </w:pPr>
      <w:r>
        <w:separator/>
      </w:r>
    </w:p>
  </w:footnote>
  <w:footnote w:type="continuationSeparator" w:id="0">
    <w:p w:rsidR="007849C6" w:rsidRDefault="007849C6"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550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550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550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F0736"/>
    <w:multiLevelType w:val="hybridMultilevel"/>
    <w:tmpl w:val="D7CAE934"/>
    <w:lvl w:ilvl="0" w:tplc="1FE04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3"/>
  </w:num>
  <w:num w:numId="3">
    <w:abstractNumId w:val="3"/>
  </w:num>
  <w:num w:numId="4">
    <w:abstractNumId w:val="28"/>
  </w:num>
  <w:num w:numId="5">
    <w:abstractNumId w:val="0"/>
  </w:num>
  <w:num w:numId="6">
    <w:abstractNumId w:val="1"/>
  </w:num>
  <w:num w:numId="7">
    <w:abstractNumId w:val="13"/>
  </w:num>
  <w:num w:numId="8">
    <w:abstractNumId w:val="16"/>
  </w:num>
  <w:num w:numId="9">
    <w:abstractNumId w:val="25"/>
  </w:num>
  <w:num w:numId="10">
    <w:abstractNumId w:val="15"/>
  </w:num>
  <w:num w:numId="11">
    <w:abstractNumId w:val="19"/>
  </w:num>
  <w:num w:numId="12">
    <w:abstractNumId w:val="8"/>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6"/>
  </w:num>
  <w:num w:numId="23">
    <w:abstractNumId w:val="17"/>
  </w:num>
  <w:num w:numId="24">
    <w:abstractNumId w:val="4"/>
  </w:num>
  <w:num w:numId="25">
    <w:abstractNumId w:val="27"/>
  </w:num>
  <w:num w:numId="26">
    <w:abstractNumId w:val="20"/>
  </w:num>
  <w:num w:numId="27">
    <w:abstractNumId w:val="24"/>
  </w:num>
  <w:num w:numId="28">
    <w:abstractNumId w:val="14"/>
  </w:num>
  <w:num w:numId="29">
    <w:abstractNumId w:val="31"/>
  </w:num>
  <w:num w:numId="30">
    <w:abstractNumId w:val="9"/>
  </w:num>
  <w:num w:numId="31">
    <w:abstractNumId w:val="5"/>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A49C8"/>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87A85"/>
    <w:rsid w:val="002A071E"/>
    <w:rsid w:val="002A2E8D"/>
    <w:rsid w:val="002A3111"/>
    <w:rsid w:val="002A6A6E"/>
    <w:rsid w:val="002B1EA1"/>
    <w:rsid w:val="002B1FE5"/>
    <w:rsid w:val="002B30C5"/>
    <w:rsid w:val="002C0B0D"/>
    <w:rsid w:val="002C4ACE"/>
    <w:rsid w:val="002D2F58"/>
    <w:rsid w:val="002D4033"/>
    <w:rsid w:val="002E3ED2"/>
    <w:rsid w:val="002E691F"/>
    <w:rsid w:val="002F79FF"/>
    <w:rsid w:val="00300BE7"/>
    <w:rsid w:val="00302CEB"/>
    <w:rsid w:val="0030352F"/>
    <w:rsid w:val="00305CE0"/>
    <w:rsid w:val="00315772"/>
    <w:rsid w:val="003170B3"/>
    <w:rsid w:val="0032084C"/>
    <w:rsid w:val="0032240B"/>
    <w:rsid w:val="003258B6"/>
    <w:rsid w:val="0032670C"/>
    <w:rsid w:val="0035506E"/>
    <w:rsid w:val="00360A7B"/>
    <w:rsid w:val="0036141D"/>
    <w:rsid w:val="003617E4"/>
    <w:rsid w:val="003676A8"/>
    <w:rsid w:val="003722F0"/>
    <w:rsid w:val="00376B99"/>
    <w:rsid w:val="00377B5A"/>
    <w:rsid w:val="00384DBA"/>
    <w:rsid w:val="003855C9"/>
    <w:rsid w:val="003875DC"/>
    <w:rsid w:val="00387F6B"/>
    <w:rsid w:val="00392E1A"/>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8CD"/>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2317"/>
    <w:rsid w:val="00535FDA"/>
    <w:rsid w:val="00540F48"/>
    <w:rsid w:val="005441DE"/>
    <w:rsid w:val="005503D3"/>
    <w:rsid w:val="00554B28"/>
    <w:rsid w:val="005556CA"/>
    <w:rsid w:val="005565CE"/>
    <w:rsid w:val="005647B4"/>
    <w:rsid w:val="005650D9"/>
    <w:rsid w:val="00567957"/>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27A4"/>
    <w:rsid w:val="006262ED"/>
    <w:rsid w:val="006319DC"/>
    <w:rsid w:val="00645585"/>
    <w:rsid w:val="00651A8A"/>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E7B36"/>
    <w:rsid w:val="006F081D"/>
    <w:rsid w:val="006F0A01"/>
    <w:rsid w:val="00713CFD"/>
    <w:rsid w:val="00715A51"/>
    <w:rsid w:val="00720D2F"/>
    <w:rsid w:val="00723CDA"/>
    <w:rsid w:val="00730193"/>
    <w:rsid w:val="00733675"/>
    <w:rsid w:val="007349D6"/>
    <w:rsid w:val="00740940"/>
    <w:rsid w:val="00740A46"/>
    <w:rsid w:val="00740DA3"/>
    <w:rsid w:val="00744BA1"/>
    <w:rsid w:val="00744F8C"/>
    <w:rsid w:val="00761D8C"/>
    <w:rsid w:val="007626E7"/>
    <w:rsid w:val="00772781"/>
    <w:rsid w:val="00772B4B"/>
    <w:rsid w:val="00773AAF"/>
    <w:rsid w:val="007763E8"/>
    <w:rsid w:val="00780F47"/>
    <w:rsid w:val="007846D9"/>
    <w:rsid w:val="007849C6"/>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1822"/>
    <w:rsid w:val="008126FB"/>
    <w:rsid w:val="00817655"/>
    <w:rsid w:val="0082103A"/>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C7093"/>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28E7"/>
    <w:rsid w:val="00A37A86"/>
    <w:rsid w:val="00A42F36"/>
    <w:rsid w:val="00A5179E"/>
    <w:rsid w:val="00A53753"/>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02660"/>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2041"/>
    <w:rsid w:val="00C43E73"/>
    <w:rsid w:val="00C4764C"/>
    <w:rsid w:val="00C544E1"/>
    <w:rsid w:val="00C547F0"/>
    <w:rsid w:val="00C602B8"/>
    <w:rsid w:val="00C6233A"/>
    <w:rsid w:val="00C66C13"/>
    <w:rsid w:val="00C73E2A"/>
    <w:rsid w:val="00C752C4"/>
    <w:rsid w:val="00C753D8"/>
    <w:rsid w:val="00C76905"/>
    <w:rsid w:val="00C80923"/>
    <w:rsid w:val="00C9078E"/>
    <w:rsid w:val="00C93875"/>
    <w:rsid w:val="00C978DD"/>
    <w:rsid w:val="00CA2B8E"/>
    <w:rsid w:val="00CA6667"/>
    <w:rsid w:val="00CB2472"/>
    <w:rsid w:val="00CB26E2"/>
    <w:rsid w:val="00CB2E4E"/>
    <w:rsid w:val="00CB4549"/>
    <w:rsid w:val="00CC3ACF"/>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1447"/>
    <w:rsid w:val="00D35B4C"/>
    <w:rsid w:val="00D36317"/>
    <w:rsid w:val="00D40E34"/>
    <w:rsid w:val="00D51491"/>
    <w:rsid w:val="00D549C7"/>
    <w:rsid w:val="00D7115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2782"/>
    <w:rsid w:val="00EF3EA6"/>
    <w:rsid w:val="00EF6FDF"/>
    <w:rsid w:val="00F01271"/>
    <w:rsid w:val="00F1169F"/>
    <w:rsid w:val="00F1403B"/>
    <w:rsid w:val="00F26CE5"/>
    <w:rsid w:val="00F30EE8"/>
    <w:rsid w:val="00F41722"/>
    <w:rsid w:val="00F42584"/>
    <w:rsid w:val="00F665AF"/>
    <w:rsid w:val="00F67DF2"/>
    <w:rsid w:val="00F72355"/>
    <w:rsid w:val="00F776CD"/>
    <w:rsid w:val="00F8373B"/>
    <w:rsid w:val="00FA6405"/>
    <w:rsid w:val="00FA79CE"/>
    <w:rsid w:val="00FB274F"/>
    <w:rsid w:val="00FC605B"/>
    <w:rsid w:val="00FD0238"/>
    <w:rsid w:val="00FD125E"/>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F1C4E-14C0-4B08-90E0-1485AF37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17</Pages>
  <Words>3593</Words>
  <Characters>19762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86</cp:revision>
  <cp:lastPrinted>2018-12-17T20:39:00Z</cp:lastPrinted>
  <dcterms:created xsi:type="dcterms:W3CDTF">2018-10-22T18:42:00Z</dcterms:created>
  <dcterms:modified xsi:type="dcterms:W3CDTF">2019-01-30T01:32:00Z</dcterms:modified>
</cp:coreProperties>
</file>